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A0014AE">
      <w:pPr>
        <w:jc w:val="center"/>
        <w:rPr>
          <w:rFonts w:hint="eastAsia" w:ascii="微软雅黑" w:hAnsi="微软雅黑" w:eastAsia="微软雅黑" w:cs="微软雅黑"/>
          <w:sz w:val="44"/>
          <w:szCs w:val="44"/>
          <w:lang w:val="en-US" w:eastAsia="zh-CN"/>
        </w:rPr>
      </w:pPr>
      <w:bookmarkStart w:id="0" w:name="_GoBack"/>
      <w:bookmarkEnd w:id="0"/>
      <w:r>
        <w:rPr>
          <w:rFonts w:hint="eastAsia" w:ascii="微软雅黑" w:hAnsi="微软雅黑" w:eastAsia="微软雅黑" w:cs="微软雅黑"/>
          <w:sz w:val="44"/>
          <w:szCs w:val="44"/>
          <w:lang w:val="en-US" w:eastAsia="zh-CN"/>
        </w:rPr>
        <w:t>比选评分标准</w:t>
      </w:r>
    </w:p>
    <w:tbl>
      <w:tblPr>
        <w:tblStyle w:val="4"/>
        <w:tblpPr w:leftFromText="180" w:rightFromText="180" w:vertAnchor="text" w:horzAnchor="page" w:tblpX="705" w:tblpY="312"/>
        <w:tblOverlap w:val="never"/>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49"/>
        <w:gridCol w:w="8030"/>
        <w:gridCol w:w="1103"/>
      </w:tblGrid>
      <w:tr w14:paraId="29DAED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725" w:type="pct"/>
            <w:noWrap w:val="0"/>
            <w:vAlign w:val="center"/>
          </w:tcPr>
          <w:p w14:paraId="47E3C235">
            <w:pPr>
              <w:spacing w:line="0" w:lineRule="atLeast"/>
              <w:jc w:val="center"/>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评分项</w:t>
            </w:r>
          </w:p>
        </w:tc>
        <w:tc>
          <w:tcPr>
            <w:tcW w:w="3758" w:type="pct"/>
            <w:noWrap w:val="0"/>
            <w:vAlign w:val="center"/>
          </w:tcPr>
          <w:p w14:paraId="35C25AEE">
            <w:pPr>
              <w:spacing w:line="0" w:lineRule="atLeast"/>
              <w:jc w:val="center"/>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评分标准</w:t>
            </w:r>
          </w:p>
        </w:tc>
        <w:tc>
          <w:tcPr>
            <w:tcW w:w="516" w:type="pct"/>
            <w:noWrap w:val="0"/>
            <w:vAlign w:val="center"/>
          </w:tcPr>
          <w:p w14:paraId="66423FC9">
            <w:pPr>
              <w:spacing w:line="0" w:lineRule="atLeast"/>
              <w:jc w:val="center"/>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分值</w:t>
            </w:r>
          </w:p>
        </w:tc>
      </w:tr>
      <w:tr w14:paraId="17B450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2" w:hRule="atLeast"/>
        </w:trPr>
        <w:tc>
          <w:tcPr>
            <w:tcW w:w="725" w:type="pct"/>
            <w:shd w:val="clear" w:color="auto" w:fill="auto"/>
            <w:noWrap w:val="0"/>
            <w:vAlign w:val="center"/>
          </w:tcPr>
          <w:p w14:paraId="0BCB78D7">
            <w:pPr>
              <w:spacing w:before="268" w:line="338" w:lineRule="exact"/>
              <w:jc w:val="center"/>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sz w:val="32"/>
                <w:szCs w:val="32"/>
              </w:rPr>
              <w:t>业绩</w:t>
            </w:r>
          </w:p>
        </w:tc>
        <w:tc>
          <w:tcPr>
            <w:tcW w:w="3758" w:type="pct"/>
            <w:shd w:val="clear" w:color="auto" w:fill="auto"/>
            <w:noWrap w:val="0"/>
            <w:vAlign w:val="center"/>
          </w:tcPr>
          <w:p w14:paraId="2C74C88A">
            <w:pPr>
              <w:spacing w:line="420" w:lineRule="exact"/>
              <w:ind w:firstLine="640" w:firstLineChars="200"/>
              <w:jc w:val="both"/>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自202</w:t>
            </w:r>
            <w:r>
              <w:rPr>
                <w:rFonts w:hint="eastAsia" w:ascii="仿宋_GB2312" w:hAnsi="仿宋_GB2312" w:eastAsia="仿宋_GB2312" w:cs="仿宋_GB2312"/>
                <w:b w:val="0"/>
                <w:bCs w:val="0"/>
                <w:sz w:val="32"/>
                <w:szCs w:val="32"/>
                <w:lang w:val="en-US" w:eastAsia="zh-CN"/>
              </w:rPr>
              <w:t>3</w:t>
            </w:r>
            <w:r>
              <w:rPr>
                <w:rFonts w:hint="eastAsia" w:ascii="仿宋_GB2312" w:hAnsi="仿宋_GB2312" w:eastAsia="仿宋_GB2312" w:cs="仿宋_GB2312"/>
                <w:b w:val="0"/>
                <w:bCs w:val="0"/>
                <w:sz w:val="32"/>
                <w:szCs w:val="32"/>
              </w:rPr>
              <w:t>年1月1日至今</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具备近三年</w:t>
            </w:r>
            <w:r>
              <w:rPr>
                <w:rFonts w:hint="eastAsia" w:ascii="仿宋_GB2312" w:hAnsi="仿宋_GB2312" w:eastAsia="仿宋_GB2312" w:cs="仿宋_GB2312"/>
                <w:b w:val="0"/>
                <w:bCs w:val="0"/>
                <w:sz w:val="32"/>
                <w:szCs w:val="32"/>
                <w:lang w:val="en-US" w:eastAsia="zh-CN"/>
              </w:rPr>
              <w:t>信息化</w:t>
            </w:r>
            <w:r>
              <w:rPr>
                <w:rFonts w:hint="eastAsia" w:ascii="仿宋_GB2312" w:hAnsi="仿宋_GB2312" w:eastAsia="仿宋_GB2312" w:cs="仿宋_GB2312"/>
                <w:i w:val="0"/>
                <w:iCs w:val="0"/>
                <w:color w:val="auto"/>
                <w:kern w:val="2"/>
                <w:sz w:val="32"/>
                <w:szCs w:val="32"/>
                <w:u w:val="none"/>
                <w:lang w:val="en-US" w:eastAsia="zh-CN" w:bidi="ar"/>
              </w:rPr>
              <w:t>咨询项目</w:t>
            </w:r>
            <w:r>
              <w:rPr>
                <w:rFonts w:hint="eastAsia" w:ascii="仿宋_GB2312" w:hAnsi="仿宋_GB2312" w:eastAsia="仿宋_GB2312" w:cs="仿宋_GB2312"/>
                <w:i w:val="0"/>
                <w:iCs w:val="0"/>
                <w:kern w:val="2"/>
                <w:sz w:val="32"/>
                <w:szCs w:val="32"/>
                <w:u w:val="none"/>
                <w:lang w:val="en-US" w:eastAsia="zh-CN" w:bidi="ar"/>
              </w:rPr>
              <w:t>业绩</w:t>
            </w:r>
            <w:r>
              <w:rPr>
                <w:rFonts w:hint="eastAsia" w:ascii="仿宋_GB2312" w:hAnsi="仿宋_GB2312" w:eastAsia="仿宋_GB2312" w:cs="仿宋_GB2312"/>
                <w:i w:val="0"/>
                <w:iCs w:val="0"/>
                <w:color w:val="auto"/>
                <w:kern w:val="2"/>
                <w:sz w:val="32"/>
                <w:szCs w:val="32"/>
                <w:u w:val="none"/>
                <w:lang w:val="en-US" w:eastAsia="zh-CN" w:bidi="ar"/>
              </w:rPr>
              <w:t>的，每提供一个得【</w:t>
            </w:r>
            <w:r>
              <w:rPr>
                <w:rFonts w:hint="eastAsia" w:ascii="仿宋_GB2312" w:hAnsi="仿宋_GB2312" w:eastAsia="仿宋_GB2312" w:cs="仿宋_GB2312"/>
                <w:i w:val="0"/>
                <w:iCs w:val="0"/>
                <w:kern w:val="2"/>
                <w:sz w:val="32"/>
                <w:szCs w:val="32"/>
                <w:u w:val="none"/>
                <w:lang w:val="en-US" w:eastAsia="zh-CN" w:bidi="ar"/>
              </w:rPr>
              <w:t>9</w:t>
            </w:r>
            <w:r>
              <w:rPr>
                <w:rFonts w:hint="eastAsia" w:ascii="仿宋_GB2312" w:hAnsi="仿宋_GB2312" w:eastAsia="仿宋_GB2312" w:cs="仿宋_GB2312"/>
                <w:i w:val="0"/>
                <w:iCs w:val="0"/>
                <w:color w:val="auto"/>
                <w:kern w:val="2"/>
                <w:sz w:val="32"/>
                <w:szCs w:val="32"/>
                <w:u w:val="none"/>
                <w:lang w:val="en-US" w:eastAsia="zh-CN" w:bidi="ar"/>
              </w:rPr>
              <w:t>】分，最高得【</w:t>
            </w:r>
            <w:r>
              <w:rPr>
                <w:rFonts w:hint="eastAsia" w:ascii="仿宋_GB2312" w:hAnsi="仿宋_GB2312" w:eastAsia="仿宋_GB2312" w:cs="仿宋_GB2312"/>
                <w:i w:val="0"/>
                <w:iCs w:val="0"/>
                <w:kern w:val="2"/>
                <w:sz w:val="32"/>
                <w:szCs w:val="32"/>
                <w:u w:val="none"/>
                <w:lang w:val="en-US" w:eastAsia="zh-CN" w:bidi="ar"/>
              </w:rPr>
              <w:t>18</w:t>
            </w:r>
            <w:r>
              <w:rPr>
                <w:rFonts w:hint="eastAsia" w:ascii="仿宋_GB2312" w:hAnsi="仿宋_GB2312" w:eastAsia="仿宋_GB2312" w:cs="仿宋_GB2312"/>
                <w:i w:val="0"/>
                <w:iCs w:val="0"/>
                <w:color w:val="auto"/>
                <w:kern w:val="2"/>
                <w:sz w:val="32"/>
                <w:szCs w:val="32"/>
                <w:u w:val="none"/>
                <w:lang w:val="en-US" w:eastAsia="zh-CN" w:bidi="ar"/>
              </w:rPr>
              <w:t>】分。</w:t>
            </w:r>
            <w:r>
              <w:rPr>
                <w:rFonts w:hint="eastAsia" w:ascii="仿宋_GB2312" w:hAnsi="仿宋_GB2312" w:eastAsia="仿宋_GB2312" w:cs="仿宋_GB2312"/>
                <w:i w:val="0"/>
                <w:iCs w:val="0"/>
                <w:color w:val="auto"/>
                <w:kern w:val="2"/>
                <w:sz w:val="32"/>
                <w:szCs w:val="32"/>
                <w:u w:val="none"/>
                <w:lang w:val="en-US" w:eastAsia="zh-CN" w:bidi="ar"/>
              </w:rPr>
              <w:br w:type="textWrapping"/>
            </w:r>
            <w:r>
              <w:rPr>
                <w:rFonts w:hint="eastAsia" w:ascii="仿宋_GB2312" w:hAnsi="仿宋_GB2312" w:eastAsia="仿宋_GB2312" w:cs="仿宋_GB2312"/>
                <w:i w:val="0"/>
                <w:iCs w:val="0"/>
                <w:kern w:val="2"/>
                <w:sz w:val="32"/>
                <w:szCs w:val="32"/>
                <w:u w:val="none"/>
                <w:lang w:val="en-US" w:eastAsia="zh-CN" w:bidi="ar"/>
              </w:rPr>
              <w:t xml:space="preserve">    </w:t>
            </w:r>
            <w:r>
              <w:rPr>
                <w:rFonts w:hint="eastAsia" w:ascii="仿宋_GB2312" w:hAnsi="仿宋_GB2312" w:eastAsia="仿宋_GB2312" w:cs="仿宋_GB2312"/>
                <w:i w:val="0"/>
                <w:iCs w:val="0"/>
                <w:color w:val="auto"/>
                <w:kern w:val="2"/>
                <w:sz w:val="32"/>
                <w:szCs w:val="32"/>
                <w:u w:val="none"/>
                <w:lang w:val="en-US" w:eastAsia="zh-CN" w:bidi="ar"/>
              </w:rPr>
              <w:t>具备合同金额在</w:t>
            </w:r>
            <w:r>
              <w:rPr>
                <w:rFonts w:hint="eastAsia" w:ascii="仿宋_GB2312" w:hAnsi="仿宋_GB2312" w:eastAsia="仿宋_GB2312" w:cs="仿宋_GB2312"/>
                <w:i w:val="0"/>
                <w:iCs w:val="0"/>
                <w:kern w:val="2"/>
                <w:sz w:val="32"/>
                <w:szCs w:val="32"/>
                <w:u w:val="none"/>
                <w:lang w:val="en-US" w:eastAsia="zh-CN" w:bidi="ar"/>
              </w:rPr>
              <w:t>2,0</w:t>
            </w:r>
            <w:r>
              <w:rPr>
                <w:rFonts w:hint="eastAsia" w:ascii="仿宋_GB2312" w:hAnsi="仿宋_GB2312" w:eastAsia="仿宋_GB2312" w:cs="仿宋_GB2312"/>
                <w:i w:val="0"/>
                <w:iCs w:val="0"/>
                <w:color w:val="auto"/>
                <w:kern w:val="2"/>
                <w:sz w:val="32"/>
                <w:szCs w:val="32"/>
                <w:u w:val="none"/>
                <w:lang w:val="en-US" w:eastAsia="zh-CN" w:bidi="ar"/>
              </w:rPr>
              <w:t>00,000元</w:t>
            </w:r>
            <w:r>
              <w:rPr>
                <w:rFonts w:hint="eastAsia" w:ascii="仿宋_GB2312" w:hAnsi="仿宋_GB2312" w:eastAsia="仿宋_GB2312" w:cs="仿宋_GB2312"/>
                <w:i w:val="0"/>
                <w:iCs w:val="0"/>
                <w:kern w:val="2"/>
                <w:sz w:val="32"/>
                <w:szCs w:val="32"/>
                <w:u w:val="none"/>
                <w:lang w:val="en-US" w:eastAsia="zh-CN" w:bidi="ar"/>
              </w:rPr>
              <w:t>（含）</w:t>
            </w:r>
            <w:r>
              <w:rPr>
                <w:rFonts w:hint="eastAsia" w:ascii="仿宋_GB2312" w:hAnsi="仿宋_GB2312" w:eastAsia="仿宋_GB2312" w:cs="仿宋_GB2312"/>
                <w:i w:val="0"/>
                <w:iCs w:val="0"/>
                <w:color w:val="auto"/>
                <w:kern w:val="2"/>
                <w:sz w:val="32"/>
                <w:szCs w:val="32"/>
                <w:u w:val="none"/>
                <w:lang w:val="en-US" w:eastAsia="zh-CN" w:bidi="ar"/>
              </w:rPr>
              <w:t>以上的</w:t>
            </w:r>
            <w:r>
              <w:rPr>
                <w:rFonts w:hint="eastAsia" w:ascii="仿宋_GB2312" w:hAnsi="仿宋_GB2312" w:eastAsia="仿宋_GB2312" w:cs="仿宋_GB2312"/>
                <w:i w:val="0"/>
                <w:iCs w:val="0"/>
                <w:kern w:val="2"/>
                <w:sz w:val="32"/>
                <w:szCs w:val="32"/>
                <w:u w:val="none"/>
                <w:lang w:val="en-US" w:eastAsia="zh-CN" w:bidi="ar"/>
              </w:rPr>
              <w:t>软件或技术服务</w:t>
            </w:r>
            <w:r>
              <w:rPr>
                <w:rFonts w:hint="eastAsia" w:ascii="仿宋_GB2312" w:hAnsi="仿宋_GB2312" w:eastAsia="仿宋_GB2312" w:cs="仿宋_GB2312"/>
                <w:i w:val="0"/>
                <w:iCs w:val="0"/>
                <w:color w:val="auto"/>
                <w:kern w:val="2"/>
                <w:sz w:val="32"/>
                <w:szCs w:val="32"/>
                <w:u w:val="none"/>
                <w:lang w:val="en-US" w:eastAsia="zh-CN" w:bidi="ar"/>
              </w:rPr>
              <w:t>项目的，每提供一个得【2】分，最高得【1</w:t>
            </w:r>
            <w:r>
              <w:rPr>
                <w:rFonts w:hint="eastAsia" w:ascii="仿宋_GB2312" w:hAnsi="仿宋_GB2312" w:eastAsia="仿宋_GB2312" w:cs="仿宋_GB2312"/>
                <w:i w:val="0"/>
                <w:iCs w:val="0"/>
                <w:kern w:val="2"/>
                <w:sz w:val="32"/>
                <w:szCs w:val="32"/>
                <w:u w:val="none"/>
                <w:lang w:val="en-US" w:eastAsia="zh-CN" w:bidi="ar"/>
              </w:rPr>
              <w:t>2</w:t>
            </w:r>
            <w:r>
              <w:rPr>
                <w:rFonts w:hint="eastAsia" w:ascii="仿宋_GB2312" w:hAnsi="仿宋_GB2312" w:eastAsia="仿宋_GB2312" w:cs="仿宋_GB2312"/>
                <w:i w:val="0"/>
                <w:iCs w:val="0"/>
                <w:color w:val="auto"/>
                <w:kern w:val="2"/>
                <w:sz w:val="32"/>
                <w:szCs w:val="32"/>
                <w:u w:val="none"/>
                <w:lang w:val="en-US" w:eastAsia="zh-CN" w:bidi="ar"/>
              </w:rPr>
              <w:t>】分。</w:t>
            </w:r>
          </w:p>
          <w:p w14:paraId="15E00C8D">
            <w:pPr>
              <w:spacing w:line="420" w:lineRule="exact"/>
              <w:ind w:firstLine="640" w:firstLineChars="200"/>
              <w:jc w:val="both"/>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须提供项目的合同复印件加盖公章，未提供不得分。</w:t>
            </w:r>
          </w:p>
          <w:p w14:paraId="3262022F">
            <w:pPr>
              <w:spacing w:line="420" w:lineRule="exact"/>
              <w:ind w:firstLine="640" w:firstLineChars="200"/>
              <w:jc w:val="both"/>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sz w:val="32"/>
                <w:szCs w:val="32"/>
              </w:rPr>
              <w:t>同类项目完成时间以合同签署时间为准。</w:t>
            </w:r>
          </w:p>
        </w:tc>
        <w:tc>
          <w:tcPr>
            <w:tcW w:w="516" w:type="pct"/>
            <w:shd w:val="clear" w:color="auto" w:fill="auto"/>
            <w:noWrap w:val="0"/>
            <w:vAlign w:val="center"/>
          </w:tcPr>
          <w:p w14:paraId="0B37A0FC">
            <w:pPr>
              <w:autoSpaceDE w:val="0"/>
              <w:autoSpaceDN w:val="0"/>
              <w:adjustRightInd w:val="0"/>
              <w:jc w:val="center"/>
              <w:rPr>
                <w:rFonts w:hint="default"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color w:val="000000"/>
                <w:sz w:val="32"/>
                <w:szCs w:val="32"/>
                <w:lang w:val="en-US" w:eastAsia="zh-CN"/>
              </w:rPr>
              <w:t>30</w:t>
            </w:r>
          </w:p>
        </w:tc>
      </w:tr>
      <w:tr w14:paraId="637CB3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2" w:hRule="atLeast"/>
        </w:trPr>
        <w:tc>
          <w:tcPr>
            <w:tcW w:w="725" w:type="pct"/>
            <w:shd w:val="clear" w:color="auto" w:fill="auto"/>
            <w:noWrap w:val="0"/>
            <w:vAlign w:val="center"/>
          </w:tcPr>
          <w:p w14:paraId="4D7CC132">
            <w:pPr>
              <w:spacing w:before="268" w:line="338" w:lineRule="exact"/>
              <w:jc w:val="center"/>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sz w:val="32"/>
                <w:szCs w:val="32"/>
              </w:rPr>
              <w:t>人员配置</w:t>
            </w:r>
          </w:p>
        </w:tc>
        <w:tc>
          <w:tcPr>
            <w:tcW w:w="3758" w:type="pct"/>
            <w:shd w:val="clear" w:color="auto" w:fill="auto"/>
            <w:noWrap w:val="0"/>
            <w:vAlign w:val="center"/>
          </w:tcPr>
          <w:p w14:paraId="5D619AF3">
            <w:pPr>
              <w:numPr>
                <w:ilvl w:val="0"/>
                <w:numId w:val="1"/>
              </w:numPr>
              <w:spacing w:line="420" w:lineRule="exact"/>
              <w:ind w:firstLine="640" w:firstLineChars="200"/>
              <w:jc w:val="both"/>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项目经理（1人）须具有PMP证书，以下条款才得分。（1）具有信息系统项目管理师（高级），得【3】分；（2）具有本科及以上学历及学位证明，得【2】分；（3）具有12年及以上工作经验，得【3】分；</w:t>
            </w:r>
          </w:p>
          <w:p w14:paraId="3C23DC18">
            <w:pPr>
              <w:numPr>
                <w:ilvl w:val="-1"/>
                <w:numId w:val="0"/>
              </w:numPr>
              <w:spacing w:line="420" w:lineRule="exact"/>
              <w:ind w:firstLine="640" w:firstLineChars="200"/>
              <w:jc w:val="both"/>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项目经理评分项最高得【8】分</w:t>
            </w:r>
          </w:p>
          <w:p w14:paraId="25C5AA2D">
            <w:pPr>
              <w:spacing w:line="420" w:lineRule="exact"/>
              <w:ind w:firstLine="643" w:firstLineChars="200"/>
              <w:jc w:val="both"/>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2、团队其他成员（4人），考察团队成员的学历、工作年限以及职称情况。</w:t>
            </w:r>
          </w:p>
          <w:p w14:paraId="734715B9">
            <w:pPr>
              <w:spacing w:line="420" w:lineRule="exact"/>
              <w:ind w:firstLine="640" w:firstLineChars="200"/>
              <w:jc w:val="both"/>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1）学历：每有一个技术人员具备硕士学历，得【2】分；本项最高得【6】分，不具备不得分；</w:t>
            </w:r>
          </w:p>
          <w:p w14:paraId="4BDDB0D7">
            <w:pPr>
              <w:spacing w:line="420" w:lineRule="exact"/>
              <w:ind w:firstLine="640" w:firstLineChars="200"/>
              <w:jc w:val="both"/>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2）工作年限：对该类型所有参评人员工作年限进行评分（平均工作年限=该类型所有参评人员工作年限之和/该类型所有参评人员）。</w:t>
            </w:r>
            <w:r>
              <w:rPr>
                <w:rFonts w:hint="eastAsia" w:ascii="仿宋_GB2312" w:hAnsi="仿宋_GB2312" w:eastAsia="仿宋_GB2312" w:cs="仿宋_GB2312"/>
                <w:b w:val="0"/>
                <w:bCs w:val="0"/>
                <w:sz w:val="32"/>
                <w:szCs w:val="32"/>
                <w:lang w:val="en-US" w:eastAsia="zh-CN"/>
              </w:rPr>
              <w:br w:type="textWrapping"/>
            </w:r>
            <w:r>
              <w:rPr>
                <w:rFonts w:hint="eastAsia" w:ascii="仿宋_GB2312" w:hAnsi="仿宋_GB2312" w:eastAsia="仿宋_GB2312" w:cs="仿宋_GB2312"/>
                <w:b w:val="0"/>
                <w:bCs w:val="0"/>
                <w:sz w:val="32"/>
                <w:szCs w:val="32"/>
                <w:lang w:val="en-US" w:eastAsia="zh-CN"/>
              </w:rPr>
              <w:t xml:space="preserve">   评分标准：（1）平均工作年限在8年及以上，得【2】分。</w:t>
            </w:r>
            <w:r>
              <w:rPr>
                <w:rFonts w:hint="eastAsia" w:ascii="仿宋_GB2312" w:hAnsi="仿宋_GB2312" w:eastAsia="仿宋_GB2312" w:cs="仿宋_GB2312"/>
                <w:b w:val="0"/>
                <w:bCs w:val="0"/>
                <w:sz w:val="32"/>
                <w:szCs w:val="32"/>
                <w:lang w:val="en-US" w:eastAsia="zh-CN"/>
              </w:rPr>
              <w:br w:type="textWrapping"/>
            </w:r>
            <w:r>
              <w:rPr>
                <w:rFonts w:hint="eastAsia" w:ascii="仿宋_GB2312" w:hAnsi="仿宋_GB2312" w:eastAsia="仿宋_GB2312" w:cs="仿宋_GB2312"/>
                <w:b w:val="0"/>
                <w:bCs w:val="0"/>
                <w:sz w:val="32"/>
                <w:szCs w:val="32"/>
                <w:lang w:val="en-US" w:eastAsia="zh-CN"/>
              </w:rPr>
              <w:t>（2）平均工作年限在[3年，8年)，得【1】分。</w:t>
            </w:r>
            <w:r>
              <w:rPr>
                <w:rFonts w:hint="eastAsia" w:ascii="仿宋_GB2312" w:hAnsi="仿宋_GB2312" w:eastAsia="仿宋_GB2312" w:cs="仿宋_GB2312"/>
                <w:b w:val="0"/>
                <w:bCs w:val="0"/>
                <w:sz w:val="32"/>
                <w:szCs w:val="32"/>
                <w:lang w:val="en-US" w:eastAsia="zh-CN"/>
              </w:rPr>
              <w:br w:type="textWrapping"/>
            </w:r>
            <w:r>
              <w:rPr>
                <w:rFonts w:hint="eastAsia" w:ascii="仿宋_GB2312" w:hAnsi="仿宋_GB2312" w:eastAsia="仿宋_GB2312" w:cs="仿宋_GB2312"/>
                <w:b w:val="0"/>
                <w:bCs w:val="0"/>
                <w:sz w:val="32"/>
                <w:szCs w:val="32"/>
                <w:lang w:val="en-US" w:eastAsia="zh-CN"/>
              </w:rPr>
              <w:t>（3）平均工作年限小于3年，不得分。</w:t>
            </w:r>
            <w:r>
              <w:rPr>
                <w:rFonts w:hint="eastAsia" w:ascii="仿宋_GB2312" w:hAnsi="仿宋_GB2312" w:eastAsia="仿宋_GB2312" w:cs="仿宋_GB2312"/>
                <w:b w:val="0"/>
                <w:bCs w:val="0"/>
                <w:sz w:val="32"/>
                <w:szCs w:val="32"/>
                <w:lang w:val="en-US" w:eastAsia="zh-CN"/>
              </w:rPr>
              <w:br w:type="textWrapping"/>
            </w:r>
            <w:r>
              <w:rPr>
                <w:rFonts w:hint="eastAsia" w:ascii="仿宋_GB2312" w:hAnsi="仿宋_GB2312" w:eastAsia="仿宋_GB2312" w:cs="仿宋_GB2312"/>
                <w:b w:val="0"/>
                <w:bCs w:val="0"/>
                <w:sz w:val="32"/>
                <w:szCs w:val="32"/>
                <w:lang w:val="en-US" w:eastAsia="zh-CN"/>
              </w:rPr>
              <w:t xml:space="preserve">    3）职称证书：每具备并提供一个有效的中级职称证书，得【1】分；具备并提供一个有效的高级职称证书得【2】分，本项最多得【4】分。</w:t>
            </w:r>
          </w:p>
          <w:p w14:paraId="3AE593B2">
            <w:pPr>
              <w:spacing w:line="420" w:lineRule="exact"/>
              <w:ind w:firstLine="640" w:firstLineChars="200"/>
              <w:jc w:val="both"/>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团队其它成员评分项最高得【12】分。</w:t>
            </w:r>
          </w:p>
          <w:p w14:paraId="3670E7C6">
            <w:pPr>
              <w:spacing w:line="420" w:lineRule="exact"/>
              <w:ind w:firstLine="640" w:firstLineChars="200"/>
              <w:jc w:val="both"/>
              <w:rPr>
                <w:rFonts w:hint="default"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rPr>
              <w:t>相应人员证书复印件需加盖公章附于响应文件中，未提供或未按要求提供不得分。</w:t>
            </w:r>
          </w:p>
        </w:tc>
        <w:tc>
          <w:tcPr>
            <w:tcW w:w="516" w:type="pct"/>
            <w:shd w:val="clear" w:color="auto" w:fill="auto"/>
            <w:noWrap w:val="0"/>
            <w:vAlign w:val="center"/>
          </w:tcPr>
          <w:p w14:paraId="746DD795">
            <w:pPr>
              <w:autoSpaceDE w:val="0"/>
              <w:autoSpaceDN w:val="0"/>
              <w:adjustRightInd w:val="0"/>
              <w:jc w:val="center"/>
              <w:rPr>
                <w:rFonts w:hint="default" w:ascii="仿宋_GB2312" w:hAnsi="仿宋_GB2312" w:eastAsia="仿宋_GB2312" w:cs="仿宋_GB2312"/>
                <w:b w:val="0"/>
                <w:bCs w:val="0"/>
                <w:color w:val="000000"/>
                <w:kern w:val="2"/>
                <w:sz w:val="32"/>
                <w:szCs w:val="32"/>
                <w:lang w:val="en-US" w:eastAsia="zh-CN" w:bidi="ar-SA"/>
              </w:rPr>
            </w:pPr>
            <w:r>
              <w:rPr>
                <w:rFonts w:hint="eastAsia" w:ascii="仿宋_GB2312" w:hAnsi="仿宋_GB2312" w:eastAsia="仿宋_GB2312" w:cs="仿宋_GB2312"/>
                <w:b w:val="0"/>
                <w:bCs w:val="0"/>
                <w:color w:val="000000"/>
                <w:sz w:val="32"/>
                <w:szCs w:val="32"/>
                <w:lang w:val="en-US" w:eastAsia="zh-CN"/>
              </w:rPr>
              <w:t>20</w:t>
            </w:r>
          </w:p>
        </w:tc>
      </w:tr>
      <w:tr w14:paraId="535CAE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2" w:hRule="atLeast"/>
        </w:trPr>
        <w:tc>
          <w:tcPr>
            <w:tcW w:w="725" w:type="pct"/>
            <w:shd w:val="clear" w:color="auto" w:fill="auto"/>
            <w:noWrap w:val="0"/>
            <w:vAlign w:val="center"/>
          </w:tcPr>
          <w:p w14:paraId="1F5B55A3">
            <w:pPr>
              <w:spacing w:before="268" w:line="338" w:lineRule="exact"/>
              <w:jc w:val="center"/>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企业实力</w:t>
            </w:r>
          </w:p>
        </w:tc>
        <w:tc>
          <w:tcPr>
            <w:tcW w:w="3758" w:type="pct"/>
            <w:shd w:val="clear" w:color="auto" w:fill="auto"/>
            <w:noWrap w:val="0"/>
            <w:vAlign w:val="center"/>
          </w:tcPr>
          <w:p w14:paraId="3C19E8F0">
            <w:pPr>
              <w:spacing w:line="420" w:lineRule="exact"/>
              <w:ind w:firstLine="640" w:firstLineChars="200"/>
              <w:jc w:val="left"/>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供应商具备有效的质量管理体系认证证书、信息技术服务管理体系认证证书、信息安全管理体系认证证书，须提供证书原件扫描件，每提供一个得</w:t>
            </w:r>
            <w:r>
              <w:rPr>
                <w:rFonts w:hint="eastAsia" w:ascii="仿宋_GB2312" w:hAnsi="仿宋_GB2312" w:eastAsia="仿宋_GB2312" w:cs="仿宋_GB2312"/>
                <w:b w:val="0"/>
                <w:bCs w:val="0"/>
                <w:sz w:val="32"/>
                <w:szCs w:val="32"/>
                <w:lang w:val="en-US" w:eastAsia="zh-CN"/>
              </w:rPr>
              <w:t>【2】</w:t>
            </w:r>
            <w:r>
              <w:rPr>
                <w:rFonts w:hint="eastAsia" w:ascii="仿宋_GB2312" w:hAnsi="仿宋_GB2312" w:eastAsia="仿宋_GB2312" w:cs="仿宋_GB2312"/>
                <w:b w:val="0"/>
                <w:bCs w:val="0"/>
                <w:sz w:val="32"/>
                <w:szCs w:val="32"/>
              </w:rPr>
              <w:t>分，最高得</w:t>
            </w:r>
            <w:r>
              <w:rPr>
                <w:rFonts w:hint="eastAsia" w:ascii="仿宋_GB2312" w:hAnsi="仿宋_GB2312" w:eastAsia="仿宋_GB2312" w:cs="仿宋_GB2312"/>
                <w:b w:val="0"/>
                <w:bCs w:val="0"/>
                <w:sz w:val="32"/>
                <w:szCs w:val="32"/>
                <w:lang w:val="en-US" w:eastAsia="zh-CN"/>
              </w:rPr>
              <w:t>【6】</w:t>
            </w:r>
            <w:r>
              <w:rPr>
                <w:rFonts w:hint="eastAsia" w:ascii="仿宋_GB2312" w:hAnsi="仿宋_GB2312" w:eastAsia="仿宋_GB2312" w:cs="仿宋_GB2312"/>
                <w:b w:val="0"/>
                <w:bCs w:val="0"/>
                <w:sz w:val="32"/>
                <w:szCs w:val="32"/>
              </w:rPr>
              <w:t>分，未提供或未按要求提供不得分。</w:t>
            </w:r>
          </w:p>
          <w:p w14:paraId="0A673F52">
            <w:pPr>
              <w:spacing w:line="420" w:lineRule="exact"/>
              <w:ind w:firstLine="640" w:firstLineChars="200"/>
              <w:jc w:val="left"/>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lang w:val="en-US" w:eastAsia="zh-CN"/>
              </w:rPr>
              <w:t>供应商应具软件著作权，</w:t>
            </w:r>
            <w:r>
              <w:rPr>
                <w:rFonts w:hint="eastAsia" w:ascii="仿宋_GB2312" w:hAnsi="仿宋_GB2312" w:eastAsia="仿宋_GB2312" w:cs="仿宋_GB2312"/>
                <w:b w:val="0"/>
                <w:bCs w:val="0"/>
                <w:sz w:val="32"/>
                <w:szCs w:val="32"/>
              </w:rPr>
              <w:t>须提供证书原件扫描件</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lang w:val="en-US" w:eastAsia="zh-CN"/>
              </w:rPr>
              <w:t>每提供一个得【1】分，最高得【4】分</w:t>
            </w:r>
            <w:r>
              <w:rPr>
                <w:rFonts w:hint="eastAsia" w:ascii="仿宋_GB2312" w:hAnsi="仿宋_GB2312" w:eastAsia="仿宋_GB2312" w:cs="仿宋_GB2312"/>
                <w:b w:val="0"/>
                <w:bCs w:val="0"/>
                <w:sz w:val="32"/>
                <w:szCs w:val="32"/>
              </w:rPr>
              <w:t>，未提供或未按要求提供不得分。</w:t>
            </w:r>
          </w:p>
        </w:tc>
        <w:tc>
          <w:tcPr>
            <w:tcW w:w="516" w:type="pct"/>
            <w:shd w:val="clear" w:color="auto" w:fill="auto"/>
            <w:noWrap w:val="0"/>
            <w:vAlign w:val="center"/>
          </w:tcPr>
          <w:p w14:paraId="3B1E62B6">
            <w:pPr>
              <w:autoSpaceDE w:val="0"/>
              <w:autoSpaceDN w:val="0"/>
              <w:adjustRightInd w:val="0"/>
              <w:jc w:val="center"/>
              <w:rPr>
                <w:rFonts w:hint="default" w:ascii="仿宋_GB2312" w:hAnsi="仿宋_GB2312" w:eastAsia="仿宋_GB2312" w:cs="仿宋_GB2312"/>
                <w:b w:val="0"/>
                <w:bCs w:val="0"/>
                <w:color w:val="000000"/>
                <w:sz w:val="32"/>
                <w:szCs w:val="32"/>
                <w:lang w:val="en-US" w:eastAsia="zh-CN"/>
              </w:rPr>
            </w:pPr>
            <w:r>
              <w:rPr>
                <w:rFonts w:hint="eastAsia" w:ascii="仿宋_GB2312" w:hAnsi="仿宋_GB2312" w:eastAsia="仿宋_GB2312" w:cs="仿宋_GB2312"/>
                <w:b w:val="0"/>
                <w:bCs w:val="0"/>
                <w:color w:val="000000"/>
                <w:sz w:val="32"/>
                <w:szCs w:val="32"/>
                <w:lang w:val="en-US" w:eastAsia="zh-CN"/>
              </w:rPr>
              <w:t>10</w:t>
            </w:r>
          </w:p>
        </w:tc>
      </w:tr>
      <w:tr w14:paraId="55C549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2" w:hRule="atLeast"/>
        </w:trPr>
        <w:tc>
          <w:tcPr>
            <w:tcW w:w="725" w:type="pct"/>
            <w:shd w:val="clear" w:color="auto" w:fill="auto"/>
            <w:noWrap w:val="0"/>
            <w:vAlign w:val="center"/>
          </w:tcPr>
          <w:p w14:paraId="3B33EA36">
            <w:pPr>
              <w:spacing w:before="268" w:line="338" w:lineRule="exact"/>
              <w:jc w:val="center"/>
              <w:rPr>
                <w:rFonts w:hint="default"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需求分析</w:t>
            </w:r>
          </w:p>
        </w:tc>
        <w:tc>
          <w:tcPr>
            <w:tcW w:w="3758" w:type="pct"/>
            <w:shd w:val="clear" w:color="auto" w:fill="auto"/>
            <w:noWrap w:val="0"/>
            <w:vAlign w:val="center"/>
          </w:tcPr>
          <w:p w14:paraId="7B3AB314">
            <w:pPr>
              <w:spacing w:line="420" w:lineRule="exact"/>
              <w:ind w:firstLine="640"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根据</w:t>
            </w:r>
            <w:r>
              <w:rPr>
                <w:rFonts w:hint="eastAsia" w:ascii="仿宋_GB2312" w:hAnsi="仿宋_GB2312" w:eastAsia="仿宋_GB2312" w:cs="仿宋_GB2312"/>
                <w:sz w:val="32"/>
                <w:szCs w:val="32"/>
                <w:lang w:val="en-US" w:eastAsia="zh-CN"/>
              </w:rPr>
              <w:t>供应商</w:t>
            </w:r>
            <w:r>
              <w:rPr>
                <w:rFonts w:hint="eastAsia" w:ascii="仿宋_GB2312" w:hAnsi="仿宋_GB2312" w:eastAsia="仿宋_GB2312" w:cs="仿宋_GB2312"/>
                <w:sz w:val="32"/>
                <w:szCs w:val="32"/>
              </w:rPr>
              <w:t>对项目整体需求的分析情况进行打分，需求分析应体现对采购人的使用要求的理解</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本项最高得【15】分</w:t>
            </w:r>
            <w:r>
              <w:rPr>
                <w:rFonts w:hint="eastAsia" w:ascii="仿宋_GB2312" w:hAnsi="仿宋_GB2312" w:eastAsia="仿宋_GB2312" w:cs="仿宋_GB2312"/>
                <w:sz w:val="32"/>
                <w:szCs w:val="32"/>
              </w:rPr>
              <w:t>：</w:t>
            </w:r>
          </w:p>
          <w:p w14:paraId="1E8CC2D5">
            <w:pPr>
              <w:spacing w:line="420" w:lineRule="exact"/>
              <w:ind w:firstLine="640"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一档：</w:t>
            </w:r>
            <w:r>
              <w:rPr>
                <w:rFonts w:hint="eastAsia" w:ascii="仿宋_GB2312" w:hAnsi="仿宋_GB2312" w:eastAsia="仿宋_GB2312" w:cs="仿宋_GB2312"/>
                <w:sz w:val="32"/>
                <w:szCs w:val="32"/>
                <w:lang w:eastAsia="zh-CN"/>
              </w:rPr>
              <w:t>供应商</w:t>
            </w:r>
            <w:r>
              <w:rPr>
                <w:rFonts w:hint="eastAsia" w:ascii="仿宋_GB2312" w:hAnsi="仿宋_GB2312" w:eastAsia="仿宋_GB2312" w:cs="仿宋_GB2312"/>
                <w:sz w:val="32"/>
                <w:szCs w:val="32"/>
              </w:rPr>
              <w:t>对需求进行了深入细致的分析，能够完全理解并准确把握本次项目需求的核心要点和细节，对项目实施中潜在问题的识别准确全面，解决措施合理得当，有利于保障项目后期实施</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得</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15</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分；</w:t>
            </w:r>
          </w:p>
          <w:p w14:paraId="79300C6D">
            <w:pPr>
              <w:spacing w:line="420" w:lineRule="exact"/>
              <w:ind w:firstLine="640"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二档：</w:t>
            </w:r>
            <w:r>
              <w:rPr>
                <w:rFonts w:hint="eastAsia" w:ascii="仿宋_GB2312" w:hAnsi="仿宋_GB2312" w:eastAsia="仿宋_GB2312" w:cs="仿宋_GB2312"/>
                <w:sz w:val="32"/>
                <w:szCs w:val="32"/>
                <w:lang w:eastAsia="zh-CN"/>
              </w:rPr>
              <w:t>供应商</w:t>
            </w:r>
            <w:r>
              <w:rPr>
                <w:rFonts w:hint="eastAsia" w:ascii="仿宋_GB2312" w:hAnsi="仿宋_GB2312" w:eastAsia="仿宋_GB2312" w:cs="仿宋_GB2312"/>
                <w:sz w:val="32"/>
                <w:szCs w:val="32"/>
              </w:rPr>
              <w:t>对需求有</w:t>
            </w:r>
            <w:r>
              <w:rPr>
                <w:rFonts w:hint="eastAsia" w:ascii="仿宋_GB2312" w:hAnsi="仿宋_GB2312" w:eastAsia="仿宋_GB2312" w:cs="仿宋_GB2312"/>
                <w:sz w:val="32"/>
                <w:szCs w:val="32"/>
                <w:lang w:val="en-US" w:eastAsia="zh-CN"/>
              </w:rPr>
              <w:t>较为完善</w:t>
            </w:r>
            <w:r>
              <w:rPr>
                <w:rFonts w:hint="eastAsia" w:ascii="仿宋_GB2312" w:hAnsi="仿宋_GB2312" w:eastAsia="仿宋_GB2312" w:cs="仿宋_GB2312"/>
                <w:sz w:val="32"/>
                <w:szCs w:val="32"/>
              </w:rPr>
              <w:t>的认识，能够理解本次项目需求的重难点，能够考虑到项目实施中潜在的问题，有一定的解决措施，对保障项目后期实施有促进作用</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得</w:t>
            </w:r>
            <w:r>
              <w:rPr>
                <w:rFonts w:hint="eastAsia" w:ascii="仿宋_GB2312" w:hAnsi="仿宋_GB2312" w:eastAsia="仿宋_GB2312" w:cs="仿宋_GB2312"/>
                <w:sz w:val="32"/>
                <w:szCs w:val="32"/>
                <w:lang w:val="en-US" w:eastAsia="zh-CN"/>
              </w:rPr>
              <w:t>【8】</w:t>
            </w:r>
            <w:r>
              <w:rPr>
                <w:rFonts w:hint="eastAsia" w:ascii="仿宋_GB2312" w:hAnsi="仿宋_GB2312" w:eastAsia="仿宋_GB2312" w:cs="仿宋_GB2312"/>
                <w:sz w:val="32"/>
                <w:szCs w:val="32"/>
              </w:rPr>
              <w:t>分；</w:t>
            </w:r>
          </w:p>
          <w:p w14:paraId="09897702">
            <w:pPr>
              <w:spacing w:line="420" w:lineRule="exact"/>
              <w:ind w:firstLine="640"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三档：</w:t>
            </w:r>
            <w:r>
              <w:rPr>
                <w:rFonts w:hint="eastAsia" w:ascii="仿宋_GB2312" w:hAnsi="仿宋_GB2312" w:eastAsia="仿宋_GB2312" w:cs="仿宋_GB2312"/>
                <w:sz w:val="32"/>
                <w:szCs w:val="32"/>
                <w:lang w:eastAsia="zh-CN"/>
              </w:rPr>
              <w:t>供应商</w:t>
            </w:r>
            <w:r>
              <w:rPr>
                <w:rFonts w:hint="eastAsia" w:ascii="仿宋_GB2312" w:hAnsi="仿宋_GB2312" w:eastAsia="仿宋_GB2312" w:cs="仿宋_GB2312"/>
                <w:sz w:val="32"/>
                <w:szCs w:val="32"/>
              </w:rPr>
              <w:t>对需求</w:t>
            </w:r>
            <w:r>
              <w:rPr>
                <w:rFonts w:hint="eastAsia" w:ascii="仿宋_GB2312" w:hAnsi="仿宋_GB2312" w:eastAsia="仿宋_GB2312" w:cs="仿宋_GB2312"/>
                <w:sz w:val="32"/>
                <w:szCs w:val="32"/>
                <w:lang w:val="en-US" w:eastAsia="zh-CN"/>
              </w:rPr>
              <w:t>仅有基本</w:t>
            </w:r>
            <w:r>
              <w:rPr>
                <w:rFonts w:hint="eastAsia" w:ascii="仿宋_GB2312" w:hAnsi="仿宋_GB2312" w:eastAsia="仿宋_GB2312" w:cs="仿宋_GB2312"/>
                <w:sz w:val="32"/>
                <w:szCs w:val="32"/>
              </w:rPr>
              <w:t>的理解。整体需求分析内容较为简略，</w:t>
            </w:r>
            <w:r>
              <w:rPr>
                <w:rFonts w:hint="eastAsia" w:ascii="仿宋_GB2312" w:hAnsi="仿宋_GB2312" w:eastAsia="仿宋_GB2312" w:cs="仿宋_GB2312"/>
                <w:sz w:val="32"/>
                <w:szCs w:val="32"/>
                <w:lang w:val="en-US" w:eastAsia="zh-CN"/>
              </w:rPr>
              <w:t>有对</w:t>
            </w:r>
            <w:r>
              <w:rPr>
                <w:rFonts w:hint="eastAsia" w:ascii="仿宋_GB2312" w:hAnsi="仿宋_GB2312" w:eastAsia="仿宋_GB2312" w:cs="仿宋_GB2312"/>
                <w:sz w:val="32"/>
                <w:szCs w:val="32"/>
              </w:rPr>
              <w:t>项目实施中潜在问题的识别及解决措施</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但内容不够合理</w:t>
            </w:r>
            <w:r>
              <w:rPr>
                <w:rFonts w:hint="eastAsia" w:ascii="仿宋_GB2312" w:hAnsi="仿宋_GB2312" w:eastAsia="仿宋_GB2312" w:cs="仿宋_GB2312"/>
                <w:sz w:val="32"/>
                <w:szCs w:val="32"/>
              </w:rPr>
              <w:t>，对保障项目后期实施</w:t>
            </w:r>
            <w:r>
              <w:rPr>
                <w:rFonts w:hint="eastAsia" w:ascii="仿宋_GB2312" w:hAnsi="仿宋_GB2312" w:eastAsia="仿宋_GB2312" w:cs="仿宋_GB2312"/>
                <w:sz w:val="32"/>
                <w:szCs w:val="32"/>
                <w:lang w:eastAsia="zh-CN"/>
              </w:rPr>
              <w:t>的</w:t>
            </w:r>
            <w:r>
              <w:rPr>
                <w:rFonts w:hint="eastAsia" w:ascii="仿宋_GB2312" w:hAnsi="仿宋_GB2312" w:eastAsia="仿宋_GB2312" w:cs="仿宋_GB2312"/>
                <w:sz w:val="32"/>
                <w:szCs w:val="32"/>
                <w:lang w:val="en-US" w:eastAsia="zh-CN"/>
              </w:rPr>
              <w:t>帮助有限的</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得</w:t>
            </w: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分；</w:t>
            </w:r>
          </w:p>
          <w:p w14:paraId="71F08D86">
            <w:pPr>
              <w:spacing w:line="420" w:lineRule="exact"/>
              <w:ind w:firstLine="640" w:firstLineChars="200"/>
              <w:jc w:val="left"/>
              <w:rPr>
                <w:rFonts w:hint="default" w:ascii="仿宋_GB2312" w:hAnsi="仿宋_GB2312" w:eastAsia="仿宋_GB2312" w:cs="仿宋_GB2312"/>
                <w:b w:val="0"/>
                <w:bCs w:val="0"/>
                <w:sz w:val="32"/>
                <w:szCs w:val="32"/>
                <w:lang w:val="en-US" w:eastAsia="zh-CN"/>
              </w:rPr>
            </w:pPr>
            <w:r>
              <w:rPr>
                <w:rFonts w:hint="eastAsia" w:ascii="仿宋_GB2312" w:hAnsi="仿宋_GB2312" w:eastAsia="仿宋_GB2312" w:cs="仿宋_GB2312"/>
                <w:sz w:val="32"/>
                <w:szCs w:val="32"/>
                <w:lang w:val="en-US" w:eastAsia="zh-CN"/>
              </w:rPr>
              <w:t>四档：</w:t>
            </w:r>
            <w:r>
              <w:rPr>
                <w:rFonts w:hint="eastAsia" w:ascii="仿宋_GB2312" w:hAnsi="仿宋_GB2312" w:eastAsia="仿宋_GB2312" w:cs="仿宋_GB2312"/>
                <w:sz w:val="32"/>
                <w:szCs w:val="32"/>
              </w:rPr>
              <w:t>未提供需求分析或分析存在重大偏差的，得</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0</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分。</w:t>
            </w:r>
          </w:p>
        </w:tc>
        <w:tc>
          <w:tcPr>
            <w:tcW w:w="516" w:type="pct"/>
            <w:shd w:val="clear" w:color="auto" w:fill="auto"/>
            <w:noWrap w:val="0"/>
            <w:vAlign w:val="center"/>
          </w:tcPr>
          <w:p w14:paraId="03D9DED7">
            <w:pPr>
              <w:autoSpaceDE w:val="0"/>
              <w:autoSpaceDN w:val="0"/>
              <w:adjustRightInd w:val="0"/>
              <w:jc w:val="center"/>
              <w:rPr>
                <w:rFonts w:hint="default" w:ascii="仿宋_GB2312" w:hAnsi="仿宋_GB2312" w:eastAsia="仿宋_GB2312" w:cs="仿宋_GB2312"/>
                <w:b w:val="0"/>
                <w:bCs w:val="0"/>
                <w:color w:val="000000"/>
                <w:sz w:val="32"/>
                <w:szCs w:val="32"/>
                <w:lang w:val="en-US" w:eastAsia="zh-CN"/>
              </w:rPr>
            </w:pPr>
            <w:r>
              <w:rPr>
                <w:rFonts w:hint="eastAsia" w:ascii="仿宋_GB2312" w:hAnsi="仿宋_GB2312" w:eastAsia="仿宋_GB2312" w:cs="仿宋_GB2312"/>
                <w:b w:val="0"/>
                <w:bCs w:val="0"/>
                <w:color w:val="000000"/>
                <w:sz w:val="32"/>
                <w:szCs w:val="32"/>
                <w:lang w:val="en-US" w:eastAsia="zh-CN"/>
              </w:rPr>
              <w:t>15</w:t>
            </w:r>
          </w:p>
        </w:tc>
      </w:tr>
      <w:tr w14:paraId="64CB42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2" w:hRule="atLeast"/>
        </w:trPr>
        <w:tc>
          <w:tcPr>
            <w:tcW w:w="725" w:type="pct"/>
            <w:shd w:val="clear" w:color="auto" w:fill="auto"/>
            <w:noWrap w:val="0"/>
            <w:vAlign w:val="center"/>
          </w:tcPr>
          <w:p w14:paraId="46DC133D">
            <w:pPr>
              <w:autoSpaceDE w:val="0"/>
              <w:autoSpaceDN w:val="0"/>
              <w:adjustRightInd w:val="0"/>
              <w:spacing w:line="360" w:lineRule="auto"/>
              <w:jc w:val="center"/>
              <w:rPr>
                <w:rFonts w:hint="eastAsia" w:ascii="仿宋_GB2312" w:hAnsi="仿宋_GB2312" w:eastAsia="仿宋_GB2312" w:cs="仿宋_GB2312"/>
                <w:b w:val="0"/>
                <w:bCs w:val="0"/>
                <w:color w:val="000000"/>
                <w:kern w:val="2"/>
                <w:sz w:val="32"/>
                <w:szCs w:val="32"/>
                <w:lang w:val="en-US" w:eastAsia="zh-CN" w:bidi="ar-SA"/>
              </w:rPr>
            </w:pPr>
            <w:r>
              <w:rPr>
                <w:rFonts w:hint="eastAsia" w:ascii="仿宋_GB2312" w:hAnsi="仿宋_GB2312" w:eastAsia="仿宋_GB2312" w:cs="仿宋_GB2312"/>
                <w:color w:val="000000"/>
                <w:sz w:val="32"/>
                <w:szCs w:val="32"/>
              </w:rPr>
              <w:t>方案设计编制计划</w:t>
            </w:r>
          </w:p>
        </w:tc>
        <w:tc>
          <w:tcPr>
            <w:tcW w:w="3758" w:type="pct"/>
            <w:shd w:val="clear" w:color="auto" w:fill="auto"/>
            <w:noWrap w:val="0"/>
            <w:vAlign w:val="center"/>
          </w:tcPr>
          <w:p w14:paraId="7CE040D6">
            <w:pPr>
              <w:spacing w:line="420" w:lineRule="exact"/>
              <w:ind w:firstLine="640"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根据</w:t>
            </w:r>
            <w:r>
              <w:rPr>
                <w:rFonts w:hint="eastAsia" w:ascii="仿宋_GB2312" w:hAnsi="仿宋_GB2312" w:eastAsia="仿宋_GB2312" w:cs="仿宋_GB2312"/>
                <w:sz w:val="32"/>
                <w:szCs w:val="32"/>
                <w:lang w:eastAsia="zh-CN"/>
              </w:rPr>
              <w:t>供应商</w:t>
            </w:r>
            <w:r>
              <w:rPr>
                <w:rFonts w:hint="eastAsia" w:ascii="仿宋_GB2312" w:hAnsi="仿宋_GB2312" w:eastAsia="仿宋_GB2312" w:cs="仿宋_GB2312"/>
                <w:sz w:val="32"/>
                <w:szCs w:val="32"/>
              </w:rPr>
              <w:t>提供的整体方案进行打分，方案应至少包含交付的具体过程、时间进度、应急措施、风险管理等</w:t>
            </w:r>
            <w:r>
              <w:rPr>
                <w:rFonts w:hint="eastAsia" w:ascii="仿宋_GB2312" w:hAnsi="仿宋_GB2312" w:eastAsia="仿宋_GB2312" w:cs="仿宋_GB2312"/>
                <w:sz w:val="32"/>
                <w:szCs w:val="32"/>
                <w:lang w:val="en-US" w:eastAsia="zh-CN"/>
              </w:rPr>
              <w:t>内容，本项最高得【15】分</w:t>
            </w:r>
            <w:r>
              <w:rPr>
                <w:rFonts w:hint="eastAsia" w:ascii="仿宋_GB2312" w:hAnsi="仿宋_GB2312" w:eastAsia="仿宋_GB2312" w:cs="仿宋_GB2312"/>
                <w:sz w:val="32"/>
                <w:szCs w:val="32"/>
              </w:rPr>
              <w:t>：</w:t>
            </w:r>
          </w:p>
          <w:p w14:paraId="1463788E">
            <w:pPr>
              <w:spacing w:line="420" w:lineRule="exact"/>
              <w:ind w:firstLine="640"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一档：</w:t>
            </w:r>
            <w:r>
              <w:rPr>
                <w:rFonts w:hint="eastAsia" w:ascii="仿宋_GB2312" w:hAnsi="仿宋_GB2312" w:eastAsia="仿宋_GB2312" w:cs="仿宋_GB2312"/>
                <w:sz w:val="32"/>
                <w:szCs w:val="32"/>
              </w:rPr>
              <w:t>方案内容完整详实，工作实施流程清晰，充分结合项目需求制定的进度安排计划科学合理，应急措施针对性、可行性强，得</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15</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分；</w:t>
            </w:r>
          </w:p>
          <w:p w14:paraId="34B90BB6">
            <w:pPr>
              <w:spacing w:line="420" w:lineRule="exact"/>
              <w:ind w:firstLine="640"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二档：</w:t>
            </w:r>
            <w:r>
              <w:rPr>
                <w:rFonts w:hint="eastAsia" w:ascii="仿宋_GB2312" w:hAnsi="仿宋_GB2312" w:eastAsia="仿宋_GB2312" w:cs="仿宋_GB2312"/>
                <w:sz w:val="32"/>
                <w:szCs w:val="32"/>
              </w:rPr>
              <w:t>方案内容较完整，工作实施流程较明确，提供的进度安排计划较为通用，有合理性，应急措施的可行性较强，得</w:t>
            </w:r>
            <w:r>
              <w:rPr>
                <w:rFonts w:hint="eastAsia" w:ascii="仿宋_GB2312" w:hAnsi="仿宋_GB2312" w:eastAsia="仿宋_GB2312" w:cs="仿宋_GB2312"/>
                <w:sz w:val="32"/>
                <w:szCs w:val="32"/>
                <w:lang w:val="en-US" w:eastAsia="zh-CN"/>
              </w:rPr>
              <w:t>【8】</w:t>
            </w:r>
            <w:r>
              <w:rPr>
                <w:rFonts w:hint="eastAsia" w:ascii="仿宋_GB2312" w:hAnsi="仿宋_GB2312" w:eastAsia="仿宋_GB2312" w:cs="仿宋_GB2312"/>
                <w:sz w:val="32"/>
                <w:szCs w:val="32"/>
              </w:rPr>
              <w:t>分；</w:t>
            </w:r>
          </w:p>
          <w:p w14:paraId="78E0AC29">
            <w:pPr>
              <w:spacing w:line="420" w:lineRule="exact"/>
              <w:ind w:firstLine="640"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三档：</w:t>
            </w:r>
            <w:r>
              <w:rPr>
                <w:rFonts w:hint="eastAsia" w:ascii="仿宋_GB2312" w:hAnsi="仿宋_GB2312" w:eastAsia="仿宋_GB2312" w:cs="仿宋_GB2312"/>
                <w:sz w:val="32"/>
                <w:szCs w:val="32"/>
              </w:rPr>
              <w:t>方案内容较完整，工作实施有明确的流程，制定的解决措施合理性、可操作性不足，对项目实施的保障作用有限，得</w:t>
            </w: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分；</w:t>
            </w:r>
          </w:p>
          <w:p w14:paraId="44C9D0B2">
            <w:pPr>
              <w:spacing w:line="420" w:lineRule="exact"/>
              <w:ind w:firstLine="640" w:firstLineChars="200"/>
              <w:jc w:val="left"/>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sz w:val="32"/>
                <w:szCs w:val="32"/>
                <w:lang w:val="en-US" w:eastAsia="zh-CN"/>
              </w:rPr>
              <w:t>四档：</w:t>
            </w:r>
            <w:r>
              <w:rPr>
                <w:rFonts w:hint="eastAsia" w:ascii="仿宋_GB2312" w:hAnsi="仿宋_GB2312" w:eastAsia="仿宋_GB2312" w:cs="仿宋_GB2312"/>
                <w:sz w:val="32"/>
                <w:szCs w:val="32"/>
              </w:rPr>
              <w:t>未按要求提供或提供的方案未结合项目实际情况，无针对性</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得</w:t>
            </w:r>
            <w:r>
              <w:rPr>
                <w:rFonts w:hint="eastAsia" w:ascii="仿宋_GB2312" w:hAnsi="仿宋_GB2312" w:eastAsia="仿宋_GB2312" w:cs="仿宋_GB2312"/>
                <w:sz w:val="32"/>
                <w:szCs w:val="32"/>
                <w:lang w:val="en-US" w:eastAsia="zh-CN"/>
              </w:rPr>
              <w:t>【0】</w:t>
            </w:r>
            <w:r>
              <w:rPr>
                <w:rFonts w:hint="eastAsia" w:ascii="仿宋_GB2312" w:hAnsi="仿宋_GB2312" w:eastAsia="仿宋_GB2312" w:cs="仿宋_GB2312"/>
                <w:sz w:val="32"/>
                <w:szCs w:val="32"/>
              </w:rPr>
              <w:t>分。</w:t>
            </w:r>
          </w:p>
        </w:tc>
        <w:tc>
          <w:tcPr>
            <w:tcW w:w="516" w:type="pct"/>
            <w:shd w:val="clear" w:color="auto" w:fill="auto"/>
            <w:noWrap w:val="0"/>
            <w:vAlign w:val="center"/>
          </w:tcPr>
          <w:p w14:paraId="0C05497D">
            <w:pPr>
              <w:autoSpaceDE w:val="0"/>
              <w:autoSpaceDN w:val="0"/>
              <w:adjustRightInd w:val="0"/>
              <w:jc w:val="center"/>
              <w:rPr>
                <w:rFonts w:hint="default"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sz w:val="32"/>
                <w:szCs w:val="32"/>
                <w:lang w:val="en-US" w:eastAsia="zh-CN"/>
              </w:rPr>
              <w:t>15</w:t>
            </w:r>
          </w:p>
        </w:tc>
      </w:tr>
      <w:tr w14:paraId="12D40C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2" w:hRule="atLeast"/>
        </w:trPr>
        <w:tc>
          <w:tcPr>
            <w:tcW w:w="725" w:type="pct"/>
            <w:shd w:val="clear" w:color="auto" w:fill="auto"/>
            <w:noWrap w:val="0"/>
            <w:vAlign w:val="center"/>
          </w:tcPr>
          <w:p w14:paraId="758551F5">
            <w:pPr>
              <w:spacing w:line="0" w:lineRule="atLeast"/>
              <w:jc w:val="left"/>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sz w:val="32"/>
                <w:szCs w:val="32"/>
              </w:rPr>
              <w:t>报价得分</w:t>
            </w:r>
          </w:p>
        </w:tc>
        <w:tc>
          <w:tcPr>
            <w:tcW w:w="3758" w:type="pct"/>
            <w:shd w:val="clear" w:color="auto" w:fill="auto"/>
            <w:noWrap w:val="0"/>
            <w:vAlign w:val="center"/>
          </w:tcPr>
          <w:p w14:paraId="26A7D1DB">
            <w:pPr>
              <w:spacing w:line="0" w:lineRule="atLeast"/>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1）比选基准价为基数，报价与比选基准价一致得</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10</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分；</w:t>
            </w:r>
          </w:p>
          <w:p w14:paraId="5A56A9AA">
            <w:pPr>
              <w:spacing w:line="0" w:lineRule="atLeast"/>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2）投标人的报价每高于或低于比选基准价1%扣</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0.5</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分（不足1%按比例计算）。最多扣</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分。</w:t>
            </w:r>
          </w:p>
          <w:p w14:paraId="320508D2">
            <w:pPr>
              <w:spacing w:line="0" w:lineRule="atLeast"/>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比选基准价为有效比选报价的算术平均值（被否决投标的比选单位的投标报价、高于招标控制价的投标报价和评审小组认为不合理的比选报价不参与比选基准价的计算）；</w:t>
            </w:r>
          </w:p>
          <w:p w14:paraId="168B467E">
            <w:pPr>
              <w:spacing w:line="0" w:lineRule="atLeast"/>
              <w:jc w:val="left"/>
              <w:rPr>
                <w:rFonts w:hint="default"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sz w:val="32"/>
                <w:szCs w:val="32"/>
              </w:rPr>
              <w:t>计算公式A(评标基准价)=(A1+A2+…An)/n(n为有效个数，An为某有效投标报价)</w:t>
            </w:r>
          </w:p>
        </w:tc>
        <w:tc>
          <w:tcPr>
            <w:tcW w:w="516" w:type="pct"/>
            <w:shd w:val="clear" w:color="auto" w:fill="auto"/>
            <w:noWrap w:val="0"/>
            <w:vAlign w:val="center"/>
          </w:tcPr>
          <w:p w14:paraId="272CDFD3">
            <w:pPr>
              <w:spacing w:line="0" w:lineRule="atLeast"/>
              <w:jc w:val="center"/>
              <w:rPr>
                <w:rFonts w:hint="default"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sz w:val="32"/>
                <w:szCs w:val="32"/>
                <w:lang w:val="en-US" w:eastAsia="zh-CN"/>
              </w:rPr>
              <w:t>10</w:t>
            </w:r>
          </w:p>
        </w:tc>
      </w:tr>
    </w:tbl>
    <w:p w14:paraId="0E281C08">
      <w:pPr>
        <w:rPr>
          <w:rFonts w:hint="eastAsia"/>
          <w:lang w:val="en-US" w:eastAsia="zh-CN"/>
        </w:rPr>
      </w:pPr>
    </w:p>
    <w:p w14:paraId="79064F09">
      <w:pPr>
        <w:rPr>
          <w:rFonts w:hint="eastAsia"/>
          <w:lang w:val="en-US" w:eastAsia="zh-CN"/>
        </w:rPr>
      </w:pPr>
    </w:p>
    <w:sectPr>
      <w:pgSz w:w="11906" w:h="16838"/>
      <w:pgMar w:top="720" w:right="720" w:bottom="720" w:left="72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embedRegular r:id="rId1" w:fontKey="{3F71B80B-D09D-4ADF-B1E6-CE04C6031E48}"/>
  </w:font>
  <w:font w:name="仿宋_GB2312">
    <w:panose1 w:val="02010609030101010101"/>
    <w:charset w:val="86"/>
    <w:family w:val="auto"/>
    <w:pitch w:val="default"/>
    <w:sig w:usb0="00000001" w:usb1="080E0000" w:usb2="00000000" w:usb3="00000000" w:csb0="00040000" w:csb1="00000000"/>
    <w:embedRegular r:id="rId2" w:fontKey="{DC6761D5-904E-4548-BC07-73FE8519D7A4}"/>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8A6511C"/>
    <w:multiLevelType w:val="singleLevel"/>
    <w:tmpl w:val="D8A6511C"/>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2"/>
  <w:embedTrueTypeFonts/>
  <w:saveSubsetFonts/>
  <w:bordersDoNotSurroundHeader w:val="0"/>
  <w:bordersDoNotSurroundFooter w:val="0"/>
  <w:revisionView w:markup="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B8D0521"/>
    <w:rsid w:val="01256EF0"/>
    <w:rsid w:val="04B34EFE"/>
    <w:rsid w:val="179572E4"/>
    <w:rsid w:val="1C533D6C"/>
    <w:rsid w:val="1ECF6E26"/>
    <w:rsid w:val="2443260B"/>
    <w:rsid w:val="29563291"/>
    <w:rsid w:val="34E97955"/>
    <w:rsid w:val="38FB1722"/>
    <w:rsid w:val="450B5ED4"/>
    <w:rsid w:val="47AD4688"/>
    <w:rsid w:val="4B805219"/>
    <w:rsid w:val="4C911843"/>
    <w:rsid w:val="504A1A01"/>
    <w:rsid w:val="56B707FA"/>
    <w:rsid w:val="5B8D0521"/>
    <w:rsid w:val="5D9043CD"/>
    <w:rsid w:val="5FF71BF7"/>
    <w:rsid w:val="6E6E0AF9"/>
    <w:rsid w:val="73B24451"/>
    <w:rsid w:val="73FC5259"/>
    <w:rsid w:val="754B2615"/>
    <w:rsid w:val="772D4249"/>
    <w:rsid w:val="79BE176B"/>
    <w:rsid w:val="7D7EB170"/>
    <w:rsid w:val="7DB704CD"/>
    <w:rsid w:val="7FBD036D"/>
    <w:rsid w:val="9F7FF394"/>
    <w:rsid w:val="BFF75FBD"/>
    <w:rsid w:val="FFFF1BF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ody Text Indent 2"/>
    <w:basedOn w:val="1"/>
    <w:qFormat/>
    <w:uiPriority w:val="0"/>
    <w:pPr>
      <w:spacing w:after="120" w:line="480" w:lineRule="auto"/>
      <w:ind w:left="420" w:left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1702</Words>
  <Characters>1752</Characters>
  <Lines>0</Lines>
  <Paragraphs>0</Paragraphs>
  <TotalTime>65</TotalTime>
  <ScaleCrop>false</ScaleCrop>
  <LinksUpToDate>false</LinksUpToDate>
  <CharactersWithSpaces>1767</CharactersWithSpaces>
  <Application>WPS Office_12.1.0.25835_F1E327BC-269C-435d-A152-05C5408002CA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2026-03-04T20:25:00Z</dcterms:created>
  <dc:creator>利维亚的杰洛特c</dc:creator>
  <cp:lastModifiedBy>王涵</cp:lastModifiedBy>
  <dcterms:modified xsi:type="dcterms:W3CDTF">2026-03-31T07:22:18Z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2052-12.1.0.25835</vt:lpwstr>
  </property>
  <property fmtid="{D5CDD505-2E9C-101B-9397-08002B2CF9AE}" pid="3" name="ICV">
    <vt:lpwstr>4DDECD779ADB47A4A92EDFA3D00A1BEC_13</vt:lpwstr>
  </property>
  <property fmtid="{D5CDD505-2E9C-101B-9397-08002B2CF9AE}" pid="4" name="KSOTemplateDocerSaveRecord">
    <vt:lpwstr>eyJoZGlkIjoiYTM4ZmU2NzNjZWM2YzA2NWQ2ZjM1Njk1YWIyNjAxOTIiLCJ1c2VySWQiOiIyNDU5NTcwMDIifQ==</vt:lpwstr>
  </property>
</Properties>
</file>